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37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 w:hAnsi="Times New Roman" w:eastAsia="黑体"/>
          <w:shd w:val="clear" w:color="auto" w:fill="auto"/>
        </w:rPr>
      </w:pPr>
      <w:r>
        <w:rPr>
          <w:rFonts w:hint="eastAsia" w:ascii="Times New Roman" w:hAnsi="Times New Roman" w:eastAsia="黑体"/>
          <w:shd w:val="clear" w:color="auto" w:fill="auto"/>
        </w:rPr>
        <w:t>附件1</w:t>
      </w:r>
    </w:p>
    <w:p w14:paraId="79555F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ascii="Times New Roman" w:hAnsi="Times New Roman" w:eastAsia="方正小标宋_GBK"/>
          <w:kern w:val="2"/>
          <w:sz w:val="44"/>
          <w:szCs w:val="44"/>
        </w:rPr>
        <w:t>2025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</w:rPr>
        <w:t>年度南通市社科研究课题</w:t>
      </w:r>
    </w:p>
    <w:p w14:paraId="400AE1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center"/>
        <w:textAlignment w:val="auto"/>
        <w:rPr>
          <w:rFonts w:hint="eastAsia" w:ascii="Times New Roman" w:hAnsi="Times New Roman" w:eastAsia="方正小标宋_GBK" w:cs="黑体"/>
          <w:kern w:val="2"/>
          <w:sz w:val="36"/>
          <w:szCs w:val="36"/>
          <w:lang w:eastAsia="zh-CN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kern w:val="2"/>
          <w:sz w:val="44"/>
          <w:szCs w:val="44"/>
          <w:lang w:val="en-US" w:eastAsia="zh-CN" w:bidi="ar-SA"/>
        </w:rPr>
        <w:t>职业教育与技能人才培养专项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</w:rPr>
        <w:t>）选题</w:t>
      </w:r>
      <w:r>
        <w:rPr>
          <w:rFonts w:hint="eastAsia" w:hAnsi="方正小标宋_GBK" w:eastAsia="方正小标宋_GBK" w:cs="方正小标宋_GBK"/>
          <w:kern w:val="2"/>
          <w:sz w:val="44"/>
          <w:szCs w:val="44"/>
          <w:lang w:eastAsia="zh-CN"/>
        </w:rPr>
        <w:t>指南</w:t>
      </w:r>
    </w:p>
    <w:p w14:paraId="3073D41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81E1A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南通产业经济与技能型人才培养研究</w:t>
      </w:r>
    </w:p>
    <w:p w14:paraId="148E9C6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船舶海工产业高质量发展与人才队伍建设</w:t>
      </w:r>
      <w:r>
        <w:rPr>
          <w:rFonts w:hint="eastAsia" w:cs="Times New Roman"/>
          <w:sz w:val="32"/>
          <w:szCs w:val="32"/>
          <w:lang w:val="en-US" w:eastAsia="zh-CN"/>
        </w:rPr>
        <w:t>研究</w:t>
      </w:r>
    </w:p>
    <w:p w14:paraId="4F5021A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高端纺织产业发展与人才培养引进研究</w:t>
      </w:r>
    </w:p>
    <w:p w14:paraId="77AE654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>南通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产业人才使用储备研究</w:t>
      </w:r>
    </w:p>
    <w:p w14:paraId="3AF8EEE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>南通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高职教育服务区域经济发展研究</w:t>
      </w:r>
    </w:p>
    <w:p w14:paraId="5A9AE02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eastAsia="zh-CN"/>
        </w:rPr>
        <w:t>南通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行业产教融合共同体建设研究</w:t>
      </w:r>
    </w:p>
    <w:p w14:paraId="467475A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>南通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职业学校与园区合作机制研究</w:t>
      </w:r>
    </w:p>
    <w:p w14:paraId="1DE6865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南通现代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学徒制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</w:p>
    <w:p w14:paraId="083B72A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专业设置与区域产业结构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</w:p>
    <w:p w14:paraId="5A8CD50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中职学校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特色化专业类双师型教师队伍建设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11CCCB5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职业教育与就业问题研究</w:t>
      </w:r>
    </w:p>
    <w:p w14:paraId="7B6C687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中职、高职、本科教育</w:t>
      </w:r>
      <w:r>
        <w:rPr>
          <w:rFonts w:hint="eastAsia" w:cs="Times New Roman"/>
          <w:sz w:val="32"/>
          <w:szCs w:val="32"/>
          <w:lang w:val="en-US" w:eastAsia="zh-CN"/>
        </w:rPr>
        <w:t>协调发展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 w14:paraId="18853B4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cs="Times New Roman"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（高）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职学校产教融合实训基地建设研究</w:t>
      </w:r>
    </w:p>
    <w:p w14:paraId="79D2ABD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cs="Times New Roman"/>
          <w:sz w:val="32"/>
          <w:szCs w:val="32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职业教育考试制度与人才评价模式改革实践研究</w:t>
      </w:r>
    </w:p>
    <w:p w14:paraId="3A8C45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职业教育“大思政课”建设研究</w:t>
      </w:r>
    </w:p>
    <w:p w14:paraId="2768271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职业教育“五金建设”研究</w:t>
      </w:r>
    </w:p>
    <w:p w14:paraId="26BEA36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17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数字赋能职业教育教学、实训方式变革实践研究</w:t>
      </w:r>
    </w:p>
    <w:p w14:paraId="3B2811E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技工教育</w:t>
      </w:r>
      <w:r>
        <w:rPr>
          <w:rFonts w:hint="eastAsia" w:cs="Times New Roman"/>
          <w:sz w:val="32"/>
          <w:szCs w:val="32"/>
          <w:lang w:val="en-US" w:eastAsia="zh-CN"/>
        </w:rPr>
        <w:t>发展问题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 w14:paraId="098C486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县域职业学校心理健康教育研究</w:t>
      </w:r>
    </w:p>
    <w:p w14:paraId="038D2A0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</w:pPr>
      <w:r>
        <w:rPr>
          <w:rFonts w:hint="eastAsia" w:cs="Times New Roman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张謇职业教育思想研究</w:t>
      </w:r>
    </w:p>
    <w:p w14:paraId="6BA89B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E437C"/>
    <w:rsid w:val="351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2025-07-23T06:50:00Z</dcterms:created>
  <dc:creator>李娟</dc:creator>
  <cp:lastModifiedBy>李娟</cp:lastModifiedBy>
  <dcterms:modified xsi:type="dcterms:W3CDTF">2025-07-23T06:51:32Z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397FA48F3A184FA9B1687B99A69F7E97_11</vt:lpwstr>
  </property>
  <property fmtid="{D5CDD505-2E9C-101B-9397-08002B2CF9AE}" pid="4" name="KSOTemplateDocerSaveRecord">
    <vt:lpwstr>eyJoZGlkIjoiZWM0Nzc1OWRmNGM1MDUxYTM5ZTg0MjRhOWEwYjE0MjUiLCJ1c2VySWQiOiIyNzUzNTQxMTMifQ==</vt:lpwstr>
  </property>
</Properties>
</file>